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A" w:rsidRPr="004523ED" w:rsidRDefault="005D3E0F" w:rsidP="00E30D2D">
      <w:pPr>
        <w:pStyle w:val="Title"/>
        <w:jc w:val="center"/>
        <w:rPr>
          <w:rFonts w:asciiTheme="minorHAnsi" w:hAnsiTheme="minorHAnsi"/>
        </w:rPr>
      </w:pPr>
      <w:r w:rsidRPr="004523ED">
        <w:rPr>
          <w:rFonts w:asciiTheme="minorHAnsi" w:hAnsiTheme="minorHAnsi"/>
        </w:rPr>
        <w:t xml:space="preserve">E-Learning Fellows </w:t>
      </w:r>
      <w:r w:rsidR="00F96197" w:rsidRPr="004523ED">
        <w:rPr>
          <w:rFonts w:asciiTheme="minorHAnsi" w:hAnsiTheme="minorHAnsi"/>
        </w:rPr>
        <w:t>Course Planning Guide</w:t>
      </w:r>
    </w:p>
    <w:p w:rsidR="00F96197" w:rsidRPr="004523ED" w:rsidRDefault="00F96197" w:rsidP="00F96197">
      <w:pPr>
        <w:pStyle w:val="NoSpacing"/>
        <w:jc w:val="center"/>
        <w:rPr>
          <w:sz w:val="24"/>
          <w:szCs w:val="24"/>
        </w:rPr>
      </w:pPr>
      <w:r w:rsidRPr="004523ED">
        <w:rPr>
          <w:sz w:val="24"/>
          <w:szCs w:val="24"/>
        </w:rPr>
        <w:t xml:space="preserve">(Adapted from Robin M. Smith’s </w:t>
      </w:r>
      <w:proofErr w:type="gramStart"/>
      <w:r w:rsidRPr="004523ED">
        <w:rPr>
          <w:i/>
          <w:sz w:val="24"/>
          <w:szCs w:val="24"/>
        </w:rPr>
        <w:t>Conquering</w:t>
      </w:r>
      <w:proofErr w:type="gramEnd"/>
      <w:r w:rsidRPr="004523ED">
        <w:rPr>
          <w:i/>
          <w:sz w:val="24"/>
          <w:szCs w:val="24"/>
        </w:rPr>
        <w:t xml:space="preserve"> the Content</w:t>
      </w:r>
      <w:r w:rsidRPr="004523ED">
        <w:rPr>
          <w:sz w:val="24"/>
          <w:szCs w:val="24"/>
        </w:rPr>
        <w:t xml:space="preserve"> </w:t>
      </w:r>
      <w:r w:rsidRPr="004523ED">
        <w:rPr>
          <w:i/>
          <w:sz w:val="24"/>
          <w:szCs w:val="24"/>
        </w:rPr>
        <w:t>Workbook</w:t>
      </w:r>
      <w:r w:rsidRPr="004523ED">
        <w:rPr>
          <w:sz w:val="24"/>
          <w:szCs w:val="24"/>
        </w:rPr>
        <w:t>)</w:t>
      </w:r>
    </w:p>
    <w:p w:rsidR="00E7046C" w:rsidRPr="004523ED" w:rsidRDefault="00E7046C" w:rsidP="00F96197">
      <w:pPr>
        <w:pStyle w:val="NoSpacing"/>
        <w:jc w:val="center"/>
        <w:rPr>
          <w:sz w:val="24"/>
          <w:szCs w:val="24"/>
        </w:rPr>
      </w:pPr>
    </w:p>
    <w:p w:rsidR="00E7046C" w:rsidRPr="004523ED" w:rsidRDefault="00E7046C" w:rsidP="00E7046C">
      <w:pPr>
        <w:pStyle w:val="NoSpacing"/>
        <w:rPr>
          <w:sz w:val="24"/>
          <w:szCs w:val="24"/>
        </w:rPr>
      </w:pPr>
      <w:r w:rsidRPr="004523ED">
        <w:rPr>
          <w:sz w:val="24"/>
          <w:szCs w:val="24"/>
        </w:rPr>
        <w:t xml:space="preserve">The Course Planning Guide </w:t>
      </w:r>
      <w:r w:rsidR="00C125B0" w:rsidRPr="004523ED">
        <w:rPr>
          <w:sz w:val="24"/>
          <w:szCs w:val="24"/>
        </w:rPr>
        <w:t>is a tool</w:t>
      </w:r>
      <w:r w:rsidR="00E160C5" w:rsidRPr="004523ED">
        <w:rPr>
          <w:sz w:val="24"/>
          <w:szCs w:val="24"/>
        </w:rPr>
        <w:t xml:space="preserve"> instructors </w:t>
      </w:r>
      <w:r w:rsidR="00123542" w:rsidRPr="004523ED">
        <w:rPr>
          <w:sz w:val="24"/>
          <w:szCs w:val="24"/>
        </w:rPr>
        <w:t xml:space="preserve">can </w:t>
      </w:r>
      <w:r w:rsidR="00C125B0" w:rsidRPr="004523ED">
        <w:rPr>
          <w:sz w:val="24"/>
          <w:szCs w:val="24"/>
        </w:rPr>
        <w:t xml:space="preserve">use </w:t>
      </w:r>
      <w:r w:rsidR="00E160C5" w:rsidRPr="004523ED">
        <w:rPr>
          <w:sz w:val="24"/>
          <w:szCs w:val="24"/>
        </w:rPr>
        <w:t>to map out their course before they begin building it</w:t>
      </w:r>
      <w:r w:rsidRPr="004523ED">
        <w:rPr>
          <w:sz w:val="24"/>
          <w:szCs w:val="24"/>
        </w:rPr>
        <w:t xml:space="preserve">.  It helps </w:t>
      </w:r>
      <w:r w:rsidR="00E160C5" w:rsidRPr="004523ED">
        <w:rPr>
          <w:sz w:val="24"/>
          <w:szCs w:val="24"/>
        </w:rPr>
        <w:t>instructors and</w:t>
      </w:r>
      <w:r w:rsidRPr="004523ED">
        <w:rPr>
          <w:sz w:val="24"/>
          <w:szCs w:val="24"/>
        </w:rPr>
        <w:t xml:space="preserve"> students to stay focused</w:t>
      </w:r>
      <w:r w:rsidR="00E160C5" w:rsidRPr="004523ED">
        <w:rPr>
          <w:sz w:val="24"/>
          <w:szCs w:val="24"/>
        </w:rPr>
        <w:t xml:space="preserve"> on important course concepts</w:t>
      </w:r>
      <w:r w:rsidRPr="004523ED">
        <w:rPr>
          <w:sz w:val="24"/>
          <w:szCs w:val="24"/>
        </w:rPr>
        <w:t xml:space="preserve"> and provides transparency about how the course will run.</w:t>
      </w:r>
    </w:p>
    <w:p w:rsidR="004523ED" w:rsidRPr="004523ED" w:rsidRDefault="004523ED" w:rsidP="00E7046C">
      <w:pPr>
        <w:pStyle w:val="NoSpacing"/>
        <w:rPr>
          <w:sz w:val="24"/>
          <w:szCs w:val="24"/>
        </w:rPr>
      </w:pPr>
    </w:p>
    <w:p w:rsidR="004523ED" w:rsidRPr="004523ED" w:rsidRDefault="004523ED" w:rsidP="004523ED">
      <w:pPr>
        <w:pStyle w:val="Heading1"/>
        <w:rPr>
          <w:rFonts w:asciiTheme="minorHAnsi" w:hAnsiTheme="minorHAnsi"/>
          <w:b/>
        </w:rPr>
      </w:pPr>
      <w:r w:rsidRPr="004523ED">
        <w:rPr>
          <w:rFonts w:asciiTheme="minorHAnsi" w:hAnsiTheme="minorHAnsi"/>
          <w:b/>
        </w:rPr>
        <w:t>Course-Level</w:t>
      </w:r>
    </w:p>
    <w:p w:rsidR="00177D04" w:rsidRPr="004523ED" w:rsidRDefault="00177D04" w:rsidP="00177D04">
      <w:pPr>
        <w:pStyle w:val="NoSpacing"/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B2626" w:rsidRPr="004523ED" w:rsidTr="004B2626">
        <w:tc>
          <w:tcPr>
            <w:tcW w:w="10800" w:type="dxa"/>
            <w:shd w:val="clear" w:color="auto" w:fill="D9E2F3" w:themeFill="accent5" w:themeFillTint="33"/>
          </w:tcPr>
          <w:p w:rsidR="004B2626" w:rsidRPr="004523ED" w:rsidRDefault="004B2626" w:rsidP="00177D04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Course Goals:</w:t>
            </w:r>
          </w:p>
          <w:p w:rsidR="004B2626" w:rsidRPr="004523ED" w:rsidRDefault="004B2626" w:rsidP="00177D04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course is completed: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4B2626" w:rsidRPr="004523ED" w:rsidTr="004B2626">
        <w:tc>
          <w:tcPr>
            <w:tcW w:w="10800" w:type="dxa"/>
          </w:tcPr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course, students will be able to:</w:t>
            </w:r>
          </w:p>
          <w:p w:rsidR="004B2626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  <w:p w:rsidR="00DE421D" w:rsidRPr="004523ED" w:rsidRDefault="00DE421D" w:rsidP="00177D04">
            <w:pPr>
              <w:pStyle w:val="NoSpacing"/>
              <w:rPr>
                <w:sz w:val="24"/>
                <w:szCs w:val="24"/>
              </w:rPr>
            </w:pPr>
          </w:p>
          <w:p w:rsidR="004B2626" w:rsidRPr="004523ED" w:rsidRDefault="004B2626" w:rsidP="00177D04">
            <w:pPr>
              <w:pStyle w:val="NoSpacing"/>
              <w:rPr>
                <w:sz w:val="24"/>
                <w:szCs w:val="24"/>
              </w:rPr>
            </w:pPr>
          </w:p>
        </w:tc>
      </w:tr>
      <w:tr w:rsidR="004B2626" w:rsidRPr="004523ED" w:rsidTr="004B2626">
        <w:tc>
          <w:tcPr>
            <w:tcW w:w="10800" w:type="dxa"/>
            <w:shd w:val="clear" w:color="auto" w:fill="D9E2F3" w:themeFill="accent5" w:themeFillTint="33"/>
          </w:tcPr>
          <w:p w:rsidR="004B2626" w:rsidRPr="004523ED" w:rsidRDefault="004B2626" w:rsidP="00177D04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Course Modules:</w:t>
            </w:r>
          </w:p>
          <w:p w:rsidR="004B2626" w:rsidRPr="004523ED" w:rsidRDefault="004B2626" w:rsidP="005E6340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topics do you want to cover in your course?</w:t>
            </w:r>
            <w:r w:rsidR="00CF605F" w:rsidRPr="004523ED">
              <w:rPr>
                <w:i/>
                <w:sz w:val="24"/>
                <w:szCs w:val="24"/>
              </w:rPr>
              <w:t xml:space="preserve"> These w</w:t>
            </w:r>
            <w:r w:rsidR="005E6340" w:rsidRPr="004523ED">
              <w:rPr>
                <w:i/>
                <w:sz w:val="24"/>
                <w:szCs w:val="24"/>
              </w:rPr>
              <w:t>ill be the buckets in which you’ll group your</w:t>
            </w:r>
            <w:r w:rsidR="00CF605F" w:rsidRPr="004523ED">
              <w:rPr>
                <w:i/>
                <w:sz w:val="24"/>
                <w:szCs w:val="24"/>
              </w:rPr>
              <w:t xml:space="preserve"> learning materials, assessments, and learning activities.</w:t>
            </w:r>
          </w:p>
        </w:tc>
      </w:tr>
      <w:tr w:rsidR="004B2626" w:rsidRPr="004523ED" w:rsidTr="004B2626">
        <w:tc>
          <w:tcPr>
            <w:tcW w:w="10800" w:type="dxa"/>
          </w:tcPr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</w:p>
          <w:p w:rsidR="005B2508" w:rsidRPr="004523ED" w:rsidRDefault="005B2508" w:rsidP="005B2508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  <w:p w:rsidR="004B2626" w:rsidRPr="004523ED" w:rsidRDefault="004B2626" w:rsidP="00177D04">
            <w:pPr>
              <w:pStyle w:val="NoSpacing"/>
              <w:rPr>
                <w:sz w:val="24"/>
                <w:szCs w:val="24"/>
              </w:rPr>
            </w:pPr>
          </w:p>
          <w:p w:rsidR="004B2626" w:rsidRPr="004523ED" w:rsidRDefault="004B2626" w:rsidP="00177D0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669D1" w:rsidRPr="004523ED" w:rsidRDefault="008669D1">
      <w:r w:rsidRPr="004523ED">
        <w:br w:type="page"/>
      </w:r>
    </w:p>
    <w:p w:rsidR="004523ED" w:rsidRPr="004523ED" w:rsidRDefault="004523ED" w:rsidP="004523ED">
      <w:pPr>
        <w:pStyle w:val="Heading1"/>
        <w:rPr>
          <w:rFonts w:asciiTheme="minorHAnsi" w:hAnsiTheme="minorHAnsi"/>
          <w:b/>
        </w:rPr>
      </w:pPr>
      <w:r w:rsidRPr="004523ED">
        <w:rPr>
          <w:rFonts w:asciiTheme="minorHAnsi" w:hAnsiTheme="minorHAnsi"/>
          <w:b/>
        </w:rPr>
        <w:lastRenderedPageBreak/>
        <w:t>Module-Level</w:t>
      </w:r>
    </w:p>
    <w:p w:rsidR="004523ED" w:rsidRPr="004523ED" w:rsidRDefault="004523ED" w:rsidP="004523ED"/>
    <w:p w:rsidR="00BB0C4D" w:rsidRPr="004523ED" w:rsidRDefault="00F2375C">
      <w:pPr>
        <w:rPr>
          <w:b/>
        </w:rPr>
      </w:pPr>
      <w:r w:rsidRPr="004523ED">
        <w:rPr>
          <w:b/>
          <w:sz w:val="24"/>
        </w:rPr>
        <w:t>Module:</w:t>
      </w:r>
      <w:r w:rsidRPr="004523ED">
        <w:rPr>
          <w:b/>
        </w:rPr>
        <w:t xml:space="preserve">  </w:t>
      </w:r>
      <w:r w:rsidR="002471F2" w:rsidRPr="004523ED">
        <w:rPr>
          <w:b/>
        </w:rPr>
        <w:t>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4B2626" w:rsidRPr="004523ED" w:rsidTr="006D26D4">
        <w:tc>
          <w:tcPr>
            <w:tcW w:w="11065" w:type="dxa"/>
            <w:shd w:val="clear" w:color="auto" w:fill="D9E2F3" w:themeFill="accent5" w:themeFillTint="33"/>
          </w:tcPr>
          <w:p w:rsidR="004B2626" w:rsidRPr="004523ED" w:rsidRDefault="004B2626" w:rsidP="00BF408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4B2626" w:rsidRPr="004523ED" w:rsidRDefault="004B2626" w:rsidP="00BF408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4B2626" w:rsidRPr="004523ED" w:rsidRDefault="004B2626" w:rsidP="002471F2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AF164D" w:rsidRPr="004523ED" w:rsidTr="006D26D4">
        <w:tc>
          <w:tcPr>
            <w:tcW w:w="11065" w:type="dxa"/>
          </w:tcPr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</w:t>
            </w:r>
            <w:r w:rsidR="006D26D4" w:rsidRPr="004523ED">
              <w:rPr>
                <w:sz w:val="24"/>
                <w:szCs w:val="24"/>
              </w:rPr>
              <w:t xml:space="preserve"> will be able to:</w:t>
            </w:r>
          </w:p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</w:p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AF164D" w:rsidRPr="004523ED" w:rsidRDefault="00AF164D" w:rsidP="00177D04">
            <w:pPr>
              <w:pStyle w:val="NoSpacing"/>
              <w:rPr>
                <w:sz w:val="24"/>
                <w:szCs w:val="24"/>
              </w:rPr>
            </w:pPr>
          </w:p>
          <w:p w:rsidR="00AF164D" w:rsidRPr="004523ED" w:rsidRDefault="00BB0C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2471F2" w:rsidRPr="004523ED" w:rsidTr="006D26D4">
        <w:tc>
          <w:tcPr>
            <w:tcW w:w="11065" w:type="dxa"/>
            <w:shd w:val="clear" w:color="auto" w:fill="DEEAF6" w:themeFill="accent1" w:themeFillTint="33"/>
          </w:tcPr>
          <w:p w:rsidR="002471F2" w:rsidRPr="004523ED" w:rsidRDefault="002471F2" w:rsidP="00177D04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2471F2" w:rsidRPr="004523ED" w:rsidRDefault="002471F2" w:rsidP="00177D04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</w:t>
            </w:r>
            <w:r w:rsidR="001F76C9" w:rsidRPr="004523ED">
              <w:rPr>
                <w:i/>
                <w:sz w:val="24"/>
                <w:szCs w:val="24"/>
              </w:rPr>
              <w:t>, articles, and websites</w:t>
            </w:r>
            <w:r w:rsidRPr="004523ED">
              <w:rPr>
                <w:i/>
                <w:sz w:val="24"/>
                <w:szCs w:val="24"/>
              </w:rPr>
              <w:t>.</w:t>
            </w:r>
          </w:p>
        </w:tc>
      </w:tr>
      <w:tr w:rsidR="002471F2" w:rsidRPr="004523ED" w:rsidTr="006D26D4">
        <w:tc>
          <w:tcPr>
            <w:tcW w:w="11065" w:type="dxa"/>
          </w:tcPr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BB0C4D" w:rsidRPr="004523ED" w:rsidRDefault="00BB0C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2471F2" w:rsidRPr="004523ED" w:rsidTr="006D26D4">
        <w:tc>
          <w:tcPr>
            <w:tcW w:w="11065" w:type="dxa"/>
            <w:shd w:val="clear" w:color="auto" w:fill="DEEAF6" w:themeFill="accent1" w:themeFillTint="33"/>
          </w:tcPr>
          <w:p w:rsidR="002471F2" w:rsidRPr="004523ED" w:rsidRDefault="002471F2" w:rsidP="00177D04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2471F2" w:rsidRPr="004523ED" w:rsidRDefault="002471F2" w:rsidP="00177D04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experiences do students need to have to be successful? Examples include</w:t>
            </w:r>
            <w:r w:rsidR="00E31172" w:rsidRPr="004523ED">
              <w:rPr>
                <w:i/>
                <w:sz w:val="24"/>
                <w:szCs w:val="24"/>
              </w:rPr>
              <w:t xml:space="preserve"> discussions, field trips, </w:t>
            </w:r>
            <w:proofErr w:type="gramStart"/>
            <w:r w:rsidR="00E31172" w:rsidRPr="004523ED">
              <w:rPr>
                <w:i/>
                <w:sz w:val="24"/>
                <w:szCs w:val="24"/>
              </w:rPr>
              <w:t>lab</w:t>
            </w:r>
            <w:proofErr w:type="gramEnd"/>
            <w:r w:rsidR="00E31172"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2471F2" w:rsidRPr="004523ED" w:rsidTr="006D26D4">
        <w:tc>
          <w:tcPr>
            <w:tcW w:w="11065" w:type="dxa"/>
          </w:tcPr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BB0C4D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2471F2" w:rsidRPr="004523ED" w:rsidTr="006D26D4">
        <w:tc>
          <w:tcPr>
            <w:tcW w:w="11065" w:type="dxa"/>
            <w:shd w:val="clear" w:color="auto" w:fill="DEEAF6" w:themeFill="accent1" w:themeFillTint="33"/>
          </w:tcPr>
          <w:p w:rsidR="002471F2" w:rsidRPr="004523ED" w:rsidRDefault="002471F2" w:rsidP="00177D04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2471F2" w:rsidRPr="004523ED" w:rsidRDefault="00374678" w:rsidP="00177D04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How will you measure your students’ learning? How will students demonstrate their learning? </w:t>
            </w:r>
            <w:r w:rsidR="00102D62" w:rsidRPr="004523ED">
              <w:rPr>
                <w:i/>
                <w:sz w:val="24"/>
                <w:szCs w:val="24"/>
              </w:rPr>
              <w:t xml:space="preserve">How will you know is students met the goals? </w:t>
            </w:r>
            <w:r w:rsidR="00E31172" w:rsidRPr="004523ED">
              <w:rPr>
                <w:i/>
                <w:sz w:val="24"/>
                <w:szCs w:val="24"/>
              </w:rPr>
              <w:t>This can include self-assessmen</w:t>
            </w:r>
            <w:r w:rsidR="005843A4" w:rsidRPr="004523ED">
              <w:rPr>
                <w:i/>
                <w:sz w:val="24"/>
                <w:szCs w:val="24"/>
              </w:rPr>
              <w:t>ts, high-stakes or</w:t>
            </w:r>
            <w:r w:rsidR="00E31172" w:rsidRPr="004523ED">
              <w:rPr>
                <w:i/>
                <w:sz w:val="24"/>
                <w:szCs w:val="24"/>
              </w:rPr>
              <w:t xml:space="preserve"> low-stakes assessments</w:t>
            </w:r>
            <w:r w:rsidR="005843A4" w:rsidRPr="004523ED">
              <w:rPr>
                <w:i/>
                <w:sz w:val="24"/>
                <w:szCs w:val="24"/>
              </w:rPr>
              <w:t>, projects, presentations, exams</w:t>
            </w:r>
            <w:r w:rsidR="00E31172" w:rsidRPr="004523ED">
              <w:rPr>
                <w:i/>
                <w:sz w:val="24"/>
                <w:szCs w:val="24"/>
              </w:rPr>
              <w:t>.</w:t>
            </w:r>
          </w:p>
        </w:tc>
      </w:tr>
      <w:tr w:rsidR="002471F2" w:rsidRPr="004523ED" w:rsidTr="006D26D4">
        <w:tc>
          <w:tcPr>
            <w:tcW w:w="11065" w:type="dxa"/>
          </w:tcPr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</w:p>
          <w:p w:rsidR="002471F2" w:rsidRPr="004523ED" w:rsidRDefault="002471F2" w:rsidP="00177D04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BB0C4D">
      <w:pPr>
        <w:pStyle w:val="NoSpacing"/>
        <w:rPr>
          <w:sz w:val="24"/>
          <w:szCs w:val="24"/>
        </w:rPr>
      </w:pP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6127A2">
      <w:pPr>
        <w:pStyle w:val="NoSpacing"/>
        <w:rPr>
          <w:sz w:val="24"/>
          <w:szCs w:val="24"/>
        </w:rPr>
      </w:pPr>
    </w:p>
    <w:p w:rsidR="00FE29C2" w:rsidRDefault="00FE29C2">
      <w:pPr>
        <w:rPr>
          <w:b/>
          <w:sz w:val="24"/>
        </w:rPr>
      </w:pPr>
      <w:r>
        <w:rPr>
          <w:b/>
          <w:sz w:val="24"/>
        </w:rPr>
        <w:br w:type="page"/>
      </w:r>
    </w:p>
    <w:p w:rsidR="006127A2" w:rsidRPr="004523ED" w:rsidRDefault="006127A2" w:rsidP="006127A2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127A2" w:rsidRPr="004523ED" w:rsidTr="00BD24DF">
        <w:tc>
          <w:tcPr>
            <w:tcW w:w="11065" w:type="dxa"/>
            <w:shd w:val="clear" w:color="auto" w:fill="D9E2F3" w:themeFill="accent5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6127A2" w:rsidRPr="004523ED" w:rsidRDefault="006127A2" w:rsidP="00BD24DF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6127A2" w:rsidRPr="004523ED" w:rsidTr="00BD24DF">
        <w:tc>
          <w:tcPr>
            <w:tcW w:w="11065" w:type="dxa"/>
            <w:shd w:val="clear" w:color="auto" w:fill="DEEAF6" w:themeFill="accent1" w:themeFillTint="33"/>
          </w:tcPr>
          <w:p w:rsidR="006127A2" w:rsidRPr="004523ED" w:rsidRDefault="006127A2" w:rsidP="00BD24DF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6127A2" w:rsidRPr="004523ED" w:rsidRDefault="006127A2" w:rsidP="00BD24DF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6127A2" w:rsidRPr="004523ED" w:rsidTr="00BD24DF">
        <w:tc>
          <w:tcPr>
            <w:tcW w:w="11065" w:type="dxa"/>
          </w:tcPr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</w:p>
          <w:p w:rsidR="006127A2" w:rsidRPr="004523ED" w:rsidRDefault="006127A2" w:rsidP="00BD24DF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312086" w:rsidRDefault="00312086" w:rsidP="00B40327"/>
    <w:p w:rsidR="00312086" w:rsidRDefault="00312086" w:rsidP="00312086">
      <w:r>
        <w:br w:type="page"/>
      </w:r>
    </w:p>
    <w:p w:rsidR="00312086" w:rsidRPr="004523ED" w:rsidRDefault="00312086" w:rsidP="00312086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312086" w:rsidRPr="004523ED" w:rsidTr="00952D5A">
        <w:tc>
          <w:tcPr>
            <w:tcW w:w="11065" w:type="dxa"/>
            <w:shd w:val="clear" w:color="auto" w:fill="D9E2F3" w:themeFill="accent5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312086" w:rsidRDefault="00312086" w:rsidP="00B40327"/>
    <w:p w:rsidR="00312086" w:rsidRDefault="00312086" w:rsidP="00312086">
      <w:r>
        <w:br w:type="page"/>
      </w:r>
    </w:p>
    <w:p w:rsidR="00312086" w:rsidRPr="004523ED" w:rsidRDefault="00312086" w:rsidP="00312086">
      <w:pPr>
        <w:rPr>
          <w:b/>
        </w:rPr>
      </w:pPr>
      <w:r w:rsidRPr="004523ED">
        <w:rPr>
          <w:b/>
          <w:sz w:val="24"/>
        </w:rPr>
        <w:lastRenderedPageBreak/>
        <w:t>Module:</w:t>
      </w:r>
      <w:r w:rsidRPr="004523ED">
        <w:rPr>
          <w:b/>
        </w:rPr>
        <w:t xml:space="preserve">  ________________________________________________________________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312086" w:rsidRPr="004523ED" w:rsidTr="00952D5A">
        <w:tc>
          <w:tcPr>
            <w:tcW w:w="11065" w:type="dxa"/>
            <w:shd w:val="clear" w:color="auto" w:fill="D9E2F3" w:themeFill="accent5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Module Learning Objectives: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After the module is completed: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be able to do?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should students know?</w:t>
            </w:r>
          </w:p>
          <w:p w:rsidR="00312086" w:rsidRPr="004523ED" w:rsidRDefault="00312086" w:rsidP="00952D5A">
            <w:pPr>
              <w:pStyle w:val="NoSpacing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should they feel?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After completion of this module, students will be able to: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Resources: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What materials do students need to be successful? Examples include videos, PowerPoint slides, readings, textbooks, handouts, articles, and websites.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Learning Activities: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 xml:space="preserve">What experiences do students need to have to be successful? Examples include discussions, field trips, </w:t>
            </w:r>
            <w:proofErr w:type="gramStart"/>
            <w:r w:rsidRPr="004523ED">
              <w:rPr>
                <w:i/>
                <w:sz w:val="24"/>
                <w:szCs w:val="24"/>
              </w:rPr>
              <w:t>lab</w:t>
            </w:r>
            <w:proofErr w:type="gramEnd"/>
            <w:r w:rsidRPr="004523ED">
              <w:rPr>
                <w:i/>
                <w:sz w:val="24"/>
                <w:szCs w:val="24"/>
              </w:rPr>
              <w:t xml:space="preserve"> experiments.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4.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5.</w:t>
            </w:r>
          </w:p>
        </w:tc>
      </w:tr>
      <w:tr w:rsidR="00312086" w:rsidRPr="004523ED" w:rsidTr="00952D5A">
        <w:tc>
          <w:tcPr>
            <w:tcW w:w="11065" w:type="dxa"/>
            <w:shd w:val="clear" w:color="auto" w:fill="DEEAF6" w:themeFill="accent1" w:themeFillTint="33"/>
          </w:tcPr>
          <w:p w:rsidR="00312086" w:rsidRPr="004523ED" w:rsidRDefault="00312086" w:rsidP="00952D5A">
            <w:pPr>
              <w:pStyle w:val="NoSpacing"/>
              <w:rPr>
                <w:b/>
                <w:sz w:val="24"/>
                <w:szCs w:val="24"/>
              </w:rPr>
            </w:pPr>
            <w:r w:rsidRPr="004523ED">
              <w:rPr>
                <w:b/>
                <w:sz w:val="24"/>
                <w:szCs w:val="24"/>
              </w:rPr>
              <w:t>Assessments:</w:t>
            </w:r>
          </w:p>
          <w:p w:rsidR="00312086" w:rsidRPr="004523ED" w:rsidRDefault="00312086" w:rsidP="00952D5A">
            <w:pPr>
              <w:pStyle w:val="NoSpacing"/>
              <w:rPr>
                <w:i/>
                <w:sz w:val="24"/>
                <w:szCs w:val="24"/>
              </w:rPr>
            </w:pPr>
            <w:r w:rsidRPr="004523ED">
              <w:rPr>
                <w:i/>
                <w:sz w:val="24"/>
                <w:szCs w:val="24"/>
              </w:rPr>
              <w:t>How will you measure your students’ learning? How will students demonstrate their learning? How will you know is students met the goals? This can include self-assessments, high-stakes or low-stakes assessments, projects, presentations, exams.</w:t>
            </w:r>
          </w:p>
        </w:tc>
      </w:tr>
      <w:tr w:rsidR="00312086" w:rsidRPr="004523ED" w:rsidTr="00952D5A">
        <w:tc>
          <w:tcPr>
            <w:tcW w:w="11065" w:type="dxa"/>
          </w:tcPr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1.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2.</w:t>
            </w: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</w:p>
          <w:p w:rsidR="00312086" w:rsidRPr="004523ED" w:rsidRDefault="00312086" w:rsidP="00952D5A">
            <w:pPr>
              <w:pStyle w:val="NoSpacing"/>
              <w:rPr>
                <w:sz w:val="24"/>
                <w:szCs w:val="24"/>
              </w:rPr>
            </w:pPr>
            <w:r w:rsidRPr="004523ED">
              <w:rPr>
                <w:sz w:val="24"/>
                <w:szCs w:val="24"/>
              </w:rPr>
              <w:t>3.</w:t>
            </w:r>
          </w:p>
        </w:tc>
      </w:tr>
    </w:tbl>
    <w:p w:rsidR="006127A2" w:rsidRPr="004523ED" w:rsidRDefault="006127A2" w:rsidP="00B40327">
      <w:bookmarkStart w:id="0" w:name="_GoBack"/>
      <w:bookmarkEnd w:id="0"/>
    </w:p>
    <w:sectPr w:rsidR="006127A2" w:rsidRPr="004523ED" w:rsidSect="004C3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709"/>
    <w:multiLevelType w:val="hybridMultilevel"/>
    <w:tmpl w:val="CDA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F7A"/>
    <w:multiLevelType w:val="hybridMultilevel"/>
    <w:tmpl w:val="565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C57"/>
    <w:multiLevelType w:val="hybridMultilevel"/>
    <w:tmpl w:val="565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2EBA"/>
    <w:multiLevelType w:val="hybridMultilevel"/>
    <w:tmpl w:val="565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2E5A"/>
    <w:multiLevelType w:val="hybridMultilevel"/>
    <w:tmpl w:val="E2A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45A6"/>
    <w:multiLevelType w:val="hybridMultilevel"/>
    <w:tmpl w:val="565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288D"/>
    <w:multiLevelType w:val="hybridMultilevel"/>
    <w:tmpl w:val="565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5326"/>
    <w:multiLevelType w:val="hybridMultilevel"/>
    <w:tmpl w:val="4FB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7"/>
    <w:rsid w:val="00014F17"/>
    <w:rsid w:val="000423AB"/>
    <w:rsid w:val="000F787A"/>
    <w:rsid w:val="00102D62"/>
    <w:rsid w:val="00123542"/>
    <w:rsid w:val="00177D04"/>
    <w:rsid w:val="001F76C9"/>
    <w:rsid w:val="002471F2"/>
    <w:rsid w:val="00306E63"/>
    <w:rsid w:val="00312086"/>
    <w:rsid w:val="00374678"/>
    <w:rsid w:val="004523ED"/>
    <w:rsid w:val="004B2626"/>
    <w:rsid w:val="004C3BE4"/>
    <w:rsid w:val="00530B76"/>
    <w:rsid w:val="005843A4"/>
    <w:rsid w:val="005B2508"/>
    <w:rsid w:val="005D3E0F"/>
    <w:rsid w:val="005E6340"/>
    <w:rsid w:val="006127A2"/>
    <w:rsid w:val="006D26D4"/>
    <w:rsid w:val="00736A04"/>
    <w:rsid w:val="00745907"/>
    <w:rsid w:val="00750F79"/>
    <w:rsid w:val="008669D1"/>
    <w:rsid w:val="00971235"/>
    <w:rsid w:val="00A25D69"/>
    <w:rsid w:val="00AB632F"/>
    <w:rsid w:val="00AF164D"/>
    <w:rsid w:val="00B40327"/>
    <w:rsid w:val="00BB0C4D"/>
    <w:rsid w:val="00BF408F"/>
    <w:rsid w:val="00C125B0"/>
    <w:rsid w:val="00CB719E"/>
    <w:rsid w:val="00CF605F"/>
    <w:rsid w:val="00DE421D"/>
    <w:rsid w:val="00E160C5"/>
    <w:rsid w:val="00E30D2D"/>
    <w:rsid w:val="00E31172"/>
    <w:rsid w:val="00E60BC0"/>
    <w:rsid w:val="00E7046C"/>
    <w:rsid w:val="00E9579A"/>
    <w:rsid w:val="00F2375C"/>
    <w:rsid w:val="00F74E74"/>
    <w:rsid w:val="00F96197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F3138-38B5-439C-AA40-C048FF0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97"/>
    <w:pPr>
      <w:spacing w:after="0" w:line="240" w:lineRule="auto"/>
    </w:pPr>
  </w:style>
  <w:style w:type="table" w:styleId="TableGrid">
    <w:name w:val="Table Grid"/>
    <w:basedOn w:val="TableNormal"/>
    <w:uiPriority w:val="39"/>
    <w:rsid w:val="0017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0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2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Bergman</dc:creator>
  <cp:keywords/>
  <dc:description/>
  <cp:lastModifiedBy>Leah Bergman</cp:lastModifiedBy>
  <cp:revision>27</cp:revision>
  <cp:lastPrinted>2015-01-23T19:40:00Z</cp:lastPrinted>
  <dcterms:created xsi:type="dcterms:W3CDTF">2015-01-23T18:44:00Z</dcterms:created>
  <dcterms:modified xsi:type="dcterms:W3CDTF">2015-01-27T16:54:00Z</dcterms:modified>
</cp:coreProperties>
</file>